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 xmlns:mc="http://schemas.openxmlformats.org/markup-compatibility/2006" xmlns:wne="http://schemas.microsoft.com/office/word/2006/wordml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body>
    <w:p w14:paraId="00000003">
      <w:pPr>
        <w:pStyle w:val="Heading1"/>
        <w:jc w:val="center"/>
        <w:rPr>
          <w:rFonts w:ascii="Arial Black" w:hAnsi="Arial Black"/>
          <w:color w:val="000000" w:themeColor="dk1"/>
          <w:sz w:val="28"/>
          <w:szCs w:val="28"/>
          <w:u w:val="single"/>
        </w:rPr>
      </w:pPr>
      <w:bookmarkStart w:id="0" w:name="X9ca011a3c0f424b59d0740bc238bd8ff784f60a"/>
      <w:r>
        <w:rPr>
          <w:rFonts w:ascii="Arial Black" w:hAnsi="Arial Black"/>
          <w:color w:val="000000" w:themeColor="dk1"/>
          <w:sz w:val="28"/>
          <w:szCs w:val="28"/>
          <w:u w:val="single"/>
        </w:rPr>
        <w:t xml:space="preserve">Constitution of The Willington Players </w:t>
      </w:r>
    </w:p>
    <w:p w14:paraId="00000004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Start w:id="1" w:name="name"/>
      <w:r>
        <w:rPr>
          <w:rFonts w:ascii="Arial" w:cs="Arial" w:hAnsi="Arial"/>
          <w:color w:val="000000" w:themeColor="dk1"/>
          <w:sz w:val="22"/>
          <w:szCs w:val="22"/>
        </w:rPr>
        <w:t xml:space="preserve">1.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Name</w:t>
      </w:r>
    </w:p>
    <w:p w14:paraId="00000005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name of the group shall be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 xml:space="preserve">The Willington Players </w:t>
      </w:r>
      <w:r>
        <w:rPr>
          <w:rFonts w:ascii="Arial" w:cs="Arial" w:hAnsi="Arial"/>
          <w:color w:val="000000" w:themeColor="dk1"/>
          <w:sz w:val="22"/>
          <w:szCs w:val="22"/>
        </w:rPr>
        <w:t>(hereafter referred to as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“the Group”</w:t>
      </w:r>
      <w:r>
        <w:rPr>
          <w:rFonts w:ascii="Arial" w:cs="Arial" w:hAnsi="Arial"/>
          <w:color w:val="000000" w:themeColor="dk1"/>
          <w:sz w:val="22"/>
          <w:szCs w:val="22"/>
        </w:rPr>
        <w:t>).</w:t>
      </w:r>
    </w:p>
    <w:p w14:paraId="00000006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1"/>
      <w:bookmarkStart w:id="2" w:name="aims-and-objectives"/>
      <w:r>
        <w:rPr>
          <w:rFonts w:ascii="Arial" w:cs="Arial" w:hAnsi="Arial"/>
          <w:color w:val="000000" w:themeColor="dk1"/>
          <w:sz w:val="22"/>
          <w:szCs w:val="22"/>
        </w:rPr>
        <w:t xml:space="preserve">2.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Aims and Objectives</w:t>
      </w:r>
    </w:p>
    <w:p w14:paraId="00000007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aims of the Group are to: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Promote interest in drama and the performing arts within Willington and the surrounding areas of Derbyshire.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Provide opportunities for members to participate in theatrical productions, both on stage and behind the scenes.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Encourage creativity, learning, and personal development through drama.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Foster a welcoming, inclusive, and supportive community environment.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- Organise </w:t>
      </w:r>
      <w:r>
        <w:rPr>
          <w:rFonts w:ascii="Arial" w:cs="Arial" w:hAnsi="Arial"/>
          <w:color w:val="000000" w:themeColor="dk1"/>
          <w:sz w:val="22"/>
          <w:szCs w:val="22"/>
        </w:rPr>
        <w:t>performances, workshops, and social events.</w:t>
      </w:r>
    </w:p>
    <w:p w14:paraId="00000008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2"/>
      <w:bookmarkStart w:id="3" w:name="membership"/>
      <w:r>
        <w:rPr>
          <w:rFonts w:ascii="Arial" w:cs="Arial" w:hAnsi="Arial"/>
          <w:color w:val="000000" w:themeColor="dk1"/>
          <w:sz w:val="22"/>
          <w:szCs w:val="22"/>
        </w:rPr>
        <w:t xml:space="preserve">3.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Membership</w:t>
      </w:r>
    </w:p>
    <w:p w14:paraId="00000009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Start w:id="4" w:name="eligibility"/>
      <w:r>
        <w:rPr>
          <w:rFonts w:ascii="Arial" w:cs="Arial" w:hAnsi="Arial"/>
          <w:color w:val="000000" w:themeColor="dk1"/>
          <w:sz w:val="22"/>
          <w:szCs w:val="22"/>
        </w:rPr>
        <w:t>3.1 Eligibility</w:t>
      </w:r>
    </w:p>
    <w:p w14:paraId="0000000A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Membership shall be open to all individuals aged 16 and over who support the aims of the Group.</w:t>
      </w:r>
    </w:p>
    <w:p w14:paraId="0000000B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4"/>
      <w:bookmarkStart w:id="5" w:name="types-of-membership"/>
      <w:r>
        <w:rPr>
          <w:rFonts w:ascii="Arial" w:cs="Arial" w:hAnsi="Arial"/>
          <w:color w:val="000000" w:themeColor="dk1"/>
          <w:sz w:val="22"/>
          <w:szCs w:val="22"/>
        </w:rPr>
        <w:t>3.2 Types of Membership</w:t>
      </w:r>
    </w:p>
    <w:p w14:paraId="0000000C">
      <w:pPr>
        <w:pStyle w:val="Compact"/>
        <w:numPr>
          <w:ilvl w:val="0"/>
          <w:numId w:val="2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b/>
          <w:bCs/>
          <w:color w:val="000000" w:themeColor="dk1"/>
          <w:sz w:val="22"/>
          <w:szCs w:val="22"/>
        </w:rPr>
        <w:t>Full Members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– Individuals actively participating in productions or group activities.</w:t>
      </w:r>
    </w:p>
    <w:p w14:paraId="0000000D">
      <w:pPr>
        <w:pStyle w:val="Compact"/>
        <w:numPr>
          <w:ilvl w:val="0"/>
          <w:numId w:val="2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b/>
          <w:bCs/>
          <w:color w:val="000000" w:themeColor="dk1"/>
          <w:sz w:val="22"/>
          <w:szCs w:val="22"/>
        </w:rPr>
        <w:t>Young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 xml:space="preserve"> Members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– Individuals aged between 16 and 25 years where no annual fee is charged.</w:t>
      </w:r>
    </w:p>
    <w:p w14:paraId="0000000E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5"/>
      <w:bookmarkStart w:id="6" w:name="subscriptions"/>
      <w:r>
        <w:rPr>
          <w:rFonts w:ascii="Arial" w:cs="Arial" w:hAnsi="Arial"/>
          <w:color w:val="000000" w:themeColor="dk1"/>
          <w:sz w:val="22"/>
          <w:szCs w:val="22"/>
        </w:rPr>
        <w:t>3.3 Subscriptions - currently £20 per annum payable from March AGM</w:t>
      </w:r>
    </w:p>
    <w:p w14:paraId="0000000F">
      <w:pPr>
        <w:pStyle w:val="Compact"/>
        <w:numPr>
          <w:ilvl w:val="0"/>
          <w:numId w:val="3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Membership fees shall be determined annually by the Committee.</w:t>
      </w:r>
    </w:p>
    <w:p w14:paraId="00000010">
      <w:pPr>
        <w:pStyle w:val="Compact"/>
        <w:numPr>
          <w:ilvl w:val="0"/>
          <w:numId w:val="3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Fees must be paid to maintain active membership status.</w:t>
      </w:r>
    </w:p>
    <w:p w14:paraId="00000011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6"/>
      <w:bookmarkStart w:id="7" w:name="termination-of-membership"/>
      <w:r>
        <w:rPr>
          <w:rFonts w:ascii="Arial" w:cs="Arial" w:hAnsi="Arial"/>
          <w:color w:val="000000" w:themeColor="dk1"/>
          <w:sz w:val="22"/>
          <w:szCs w:val="22"/>
        </w:rPr>
        <w:t>3.4 Termination of Membership</w:t>
      </w:r>
    </w:p>
    <w:p w14:paraId="00000012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Committee reserves the right to terminate membership if a member’s behaviour is deemed detrimental to the Group.</w:t>
      </w:r>
    </w:p>
    <w:p w14:paraId="00000013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7"/>
      <w:bookmarkEnd w:id="3"/>
      <w:bookmarkStart w:id="8" w:name="management-committee"/>
      <w:r>
        <w:rPr>
          <w:rFonts w:ascii="Arial" w:cs="Arial" w:hAnsi="Arial"/>
          <w:color w:val="000000" w:themeColor="dk1"/>
          <w:sz w:val="22"/>
          <w:szCs w:val="22"/>
        </w:rPr>
        <w:t xml:space="preserve">4.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Management Committee</w:t>
      </w:r>
    </w:p>
    <w:p w14:paraId="00000014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Start w:id="9" w:name="structure"/>
      <w:r>
        <w:rPr>
          <w:rFonts w:ascii="Arial" w:cs="Arial" w:hAnsi="Arial"/>
          <w:color w:val="000000" w:themeColor="dk1"/>
          <w:sz w:val="22"/>
          <w:szCs w:val="22"/>
        </w:rPr>
        <w:t>4.1 Structure</w:t>
      </w:r>
    </w:p>
    <w:p w14:paraId="00000015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Group shall be managed by a Committee consisting of: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Chairperson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- 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Secretary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Treasurer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Up to 6 additional committee members</w:t>
      </w:r>
    </w:p>
    <w:p w14:paraId="00000016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9"/>
      <w:bookmarkStart w:id="10" w:name="election"/>
      <w:r>
        <w:rPr>
          <w:rFonts w:ascii="Arial" w:cs="Arial" w:hAnsi="Arial"/>
          <w:color w:val="000000" w:themeColor="dk1"/>
          <w:sz w:val="22"/>
          <w:szCs w:val="22"/>
        </w:rPr>
        <w:t>4.2 Election</w:t>
      </w:r>
    </w:p>
    <w:p w14:paraId="00000017">
      <w:pPr>
        <w:pStyle w:val="Compact"/>
        <w:numPr>
          <w:ilvl w:val="0"/>
          <w:numId w:val="4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Committee members shall be elected at the Annual General Meeting (AGM).</w:t>
      </w:r>
    </w:p>
    <w:p w14:paraId="00000018">
      <w:pPr>
        <w:pStyle w:val="Compact"/>
        <w:numPr>
          <w:ilvl w:val="0"/>
          <w:numId w:val="4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All positions shall be held for one year and members may stand for re-election.</w:t>
      </w:r>
    </w:p>
    <w:p w14:paraId="00000019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10"/>
      <w:bookmarkStart w:id="11" w:name="responsibilities"/>
      <w:r>
        <w:rPr>
          <w:rFonts w:ascii="Arial" w:cs="Arial" w:hAnsi="Arial"/>
          <w:color w:val="000000" w:themeColor="dk1"/>
          <w:sz w:val="22"/>
          <w:szCs w:val="22"/>
        </w:rPr>
        <w:t>4.3 Responsibilities</w:t>
      </w:r>
    </w:p>
    <w:p w14:paraId="0000001A">
      <w:pPr>
        <w:pStyle w:val="Compact"/>
        <w:numPr>
          <w:ilvl w:val="0"/>
          <w:numId w:val="5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b/>
          <w:bCs/>
          <w:color w:val="000000" w:themeColor="dk1"/>
          <w:sz w:val="22"/>
          <w:szCs w:val="22"/>
        </w:rPr>
        <w:t>Chairperson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– Oversees meetings and overall direction.</w:t>
      </w:r>
    </w:p>
    <w:p w14:paraId="0000001B">
      <w:pPr>
        <w:pStyle w:val="Compact"/>
        <w:numPr>
          <w:ilvl w:val="0"/>
          <w:numId w:val="5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b/>
          <w:bCs/>
          <w:color w:val="000000" w:themeColor="dk1"/>
          <w:sz w:val="22"/>
          <w:szCs w:val="22"/>
        </w:rPr>
        <w:t>Secretary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– Handles correspondence and records minutes.</w:t>
      </w:r>
    </w:p>
    <w:p w14:paraId="0000001C">
      <w:pPr>
        <w:pStyle w:val="Compact"/>
        <w:numPr>
          <w:ilvl w:val="0"/>
          <w:numId w:val="5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b/>
          <w:bCs/>
          <w:color w:val="000000" w:themeColor="dk1"/>
          <w:sz w:val="22"/>
          <w:szCs w:val="22"/>
        </w:rPr>
        <w:t>Treasurer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– Manages finances and presents accounts.</w:t>
      </w:r>
    </w:p>
    <w:p w14:paraId="0000001D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11"/>
      <w:bookmarkStart w:id="12" w:name="meetings"/>
      <w:r>
        <w:rPr>
          <w:rFonts w:ascii="Arial" w:cs="Arial" w:hAnsi="Arial"/>
          <w:color w:val="000000" w:themeColor="dk1"/>
          <w:sz w:val="22"/>
          <w:szCs w:val="22"/>
        </w:rPr>
        <w:t>4.4 Meetings</w:t>
      </w:r>
    </w:p>
    <w:p w14:paraId="0000001E">
      <w:pPr>
        <w:pStyle w:val="Compact"/>
        <w:numPr>
          <w:ilvl w:val="0"/>
          <w:numId w:val="6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Committee shall meet at least four times per year.</w:t>
      </w:r>
    </w:p>
    <w:p w14:paraId="0000001F">
      <w:pPr>
        <w:pStyle w:val="Compact"/>
        <w:numPr>
          <w:ilvl w:val="0"/>
          <w:numId w:val="6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 quorum shall be 4 members.</w:t>
      </w:r>
    </w:p>
    <w:p w14:paraId="00000020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12"/>
      <w:bookmarkEnd w:id="8"/>
      <w:bookmarkStart w:id="13" w:name="general-meetings"/>
      <w:r>
        <w:rPr>
          <w:rFonts w:ascii="Arial" w:cs="Arial" w:hAnsi="Arial"/>
          <w:color w:val="000000" w:themeColor="dk1"/>
          <w:sz w:val="22"/>
          <w:szCs w:val="22"/>
        </w:rPr>
        <w:t xml:space="preserve">5.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General Meetings</w:t>
      </w:r>
    </w:p>
    <w:p w14:paraId="00000021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Start w:id="14" w:name="annual-general-meeting-agm"/>
      <w:r>
        <w:rPr>
          <w:rFonts w:ascii="Arial" w:cs="Arial" w:hAnsi="Arial"/>
          <w:color w:val="000000" w:themeColor="dk1"/>
          <w:sz w:val="22"/>
          <w:szCs w:val="22"/>
        </w:rPr>
        <w:t>5.1 Annual General Meeting (AGM)</w:t>
      </w:r>
    </w:p>
    <w:p w14:paraId="00000022">
      <w:pPr>
        <w:pStyle w:val="Compact"/>
        <w:numPr>
          <w:ilvl w:val="0"/>
          <w:numId w:val="7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AGM shall be held once per year.</w:t>
      </w:r>
    </w:p>
    <w:p w14:paraId="00000023">
      <w:pPr>
        <w:pStyle w:val="Compact"/>
        <w:numPr>
          <w:ilvl w:val="0"/>
          <w:numId w:val="7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Members shall receive at least 14 days’ notice.</w:t>
      </w:r>
    </w:p>
    <w:p w14:paraId="00000024">
      <w:pPr>
        <w:pStyle w:val="Compact"/>
        <w:numPr>
          <w:ilvl w:val="0"/>
          <w:numId w:val="7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Business shall include reports, elections, and any proposed changes to the constitution.</w:t>
      </w:r>
    </w:p>
    <w:p w14:paraId="00000025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14"/>
      <w:bookmarkStart w:id="15" w:name="extraordinary-general-meeting-egm"/>
      <w:r>
        <w:rPr>
          <w:rFonts w:ascii="Arial" w:cs="Arial" w:hAnsi="Arial"/>
          <w:color w:val="000000" w:themeColor="dk1"/>
          <w:sz w:val="22"/>
          <w:szCs w:val="22"/>
        </w:rPr>
        <w:t>5.2 Extraordinary General Meeting (EGM)</w:t>
      </w:r>
    </w:p>
    <w:p w14:paraId="00000026">
      <w:pPr>
        <w:pStyle w:val="Compact"/>
        <w:numPr>
          <w:ilvl w:val="0"/>
          <w:numId w:val="8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May be called by the Committee or upon request by at least 10 members.</w:t>
      </w:r>
    </w:p>
    <w:p w14:paraId="00000027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15"/>
      <w:bookmarkEnd w:id="13"/>
      <w:bookmarkStart w:id="16" w:name="productions"/>
      <w:r>
        <w:rPr>
          <w:rFonts w:ascii="Arial" w:cs="Arial" w:hAnsi="Arial"/>
          <w:color w:val="000000" w:themeColor="dk1"/>
          <w:sz w:val="22"/>
          <w:szCs w:val="22"/>
        </w:rPr>
        <w:t xml:space="preserve">6.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Productions</w:t>
      </w:r>
    </w:p>
    <w:p w14:paraId="00000028">
      <w:pPr>
        <w:pStyle w:val="Compact"/>
        <w:numPr>
          <w:ilvl w:val="0"/>
          <w:numId w:val="9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Committee shall approve all productions.</w:t>
      </w:r>
    </w:p>
    <w:p w14:paraId="00000029">
      <w:pPr>
        <w:pStyle w:val="Compact"/>
        <w:numPr>
          <w:ilvl w:val="0"/>
          <w:numId w:val="9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 Production Team (including Director, Producer, Stage Manager, etc.) shall be appointed for each production.</w:t>
      </w:r>
    </w:p>
    <w:p w14:paraId="0000002A">
      <w:pPr>
        <w:pStyle w:val="Compact"/>
        <w:numPr>
          <w:ilvl w:val="0"/>
          <w:numId w:val="9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Casting decisions shall be made fairly and transparently.</w:t>
      </w:r>
    </w:p>
    <w:p w14:paraId="0000002B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16"/>
      <w:bookmarkStart w:id="17" w:name="finance"/>
      <w:r>
        <w:rPr>
          <w:rFonts w:ascii="Arial" w:cs="Arial" w:hAnsi="Arial"/>
          <w:color w:val="000000" w:themeColor="dk1"/>
          <w:sz w:val="22"/>
          <w:szCs w:val="22"/>
        </w:rPr>
        <w:t xml:space="preserve">7.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Finance</w:t>
      </w:r>
    </w:p>
    <w:p w14:paraId="0000002C">
      <w:pPr>
        <w:pStyle w:val="Compact"/>
        <w:numPr>
          <w:ilvl w:val="0"/>
          <w:numId w:val="10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All funds shall be used solely to further the aims of the Group.</w:t>
      </w:r>
    </w:p>
    <w:p w14:paraId="0000002D">
      <w:pPr>
        <w:pStyle w:val="Compact"/>
        <w:numPr>
          <w:ilvl w:val="0"/>
          <w:numId w:val="10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Charitable donations may be made occasionally at the discretion of the Committee</w:t>
      </w:r>
    </w:p>
    <w:p w14:paraId="0000002E">
      <w:pPr>
        <w:pStyle w:val="Compact"/>
        <w:numPr>
          <w:ilvl w:val="0"/>
          <w:numId w:val="10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Treasurer shall keep accurate financial records.</w:t>
      </w:r>
    </w:p>
    <w:p w14:paraId="0000002F">
      <w:pPr>
        <w:pStyle w:val="Compact"/>
        <w:numPr>
          <w:ilvl w:val="0"/>
          <w:numId w:val="10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Group shall maintain a bank account in its name.</w:t>
      </w:r>
    </w:p>
    <w:p w14:paraId="00000030">
      <w:pPr>
        <w:pStyle w:val="Compact"/>
        <w:numPr>
          <w:ilvl w:val="0"/>
          <w:numId w:val="10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Two authorised signatories shall be required for withdrawals.</w:t>
      </w:r>
    </w:p>
    <w:p w14:paraId="00000031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17"/>
      <w:bookmarkStart w:id="18" w:name="safeguarding-equality-and-junior-players"/>
      <w:r>
        <w:rPr>
          <w:rFonts w:ascii="Arial" w:cs="Arial" w:hAnsi="Arial"/>
          <w:color w:val="000000" w:themeColor="dk1"/>
          <w:sz w:val="22"/>
          <w:szCs w:val="22"/>
        </w:rPr>
        <w:t xml:space="preserve">8.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Safeguarding, Equality, and Junior Players</w:t>
      </w:r>
    </w:p>
    <w:p w14:paraId="00000032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Start w:id="19" w:name="safeguarding-commitment"/>
      <w:r>
        <w:rPr>
          <w:rFonts w:ascii="Arial" w:cs="Arial" w:hAnsi="Arial"/>
          <w:color w:val="000000" w:themeColor="dk1"/>
          <w:sz w:val="22"/>
          <w:szCs w:val="22"/>
        </w:rPr>
        <w:t>8.1 Safeguarding Commitment</w:t>
      </w:r>
    </w:p>
    <w:p w14:paraId="00000033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Group is committed to creating a safe and supportive environment for all members, particularly children and young people.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A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Designated Safeguarding Lead (DSL)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shall be appointed by the Committee.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All activities involving under-18s shall follow a written safeguarding policy reviewed annually.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Appropriate risk assessments shall be undertaken for rehearsals, performances, and trips.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Any safeguarding concerns must be reported promptly to the DSL or Chairperson and recorded appropriately.</w:t>
      </w:r>
    </w:p>
    <w:p w14:paraId="00000034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19"/>
      <w:bookmarkStart w:id="20" w:name="junior-players-ages-816"/>
      <w:r>
        <w:rPr>
          <w:rFonts w:ascii="Arial" w:cs="Arial" w:hAnsi="Arial"/>
          <w:color w:val="000000" w:themeColor="dk1"/>
          <w:sz w:val="22"/>
          <w:szCs w:val="22"/>
        </w:rPr>
        <w:t>8.2 Junior Players (Ages 8–16)</w:t>
      </w:r>
    </w:p>
    <w:p w14:paraId="00000035">
      <w:pPr>
        <w:pStyle w:val="Compact"/>
        <w:numPr>
          <w:ilvl w:val="0"/>
          <w:numId w:val="11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Group shall operate a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Junior Players section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for members aged 8 to 16.</w:t>
      </w:r>
    </w:p>
    <w:p w14:paraId="00000036">
      <w:pPr>
        <w:pStyle w:val="Compact"/>
        <w:numPr>
          <w:ilvl w:val="0"/>
          <w:numId w:val="11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Written parental/guardian consent is required for participation.</w:t>
      </w:r>
    </w:p>
    <w:p w14:paraId="00000037">
      <w:pPr>
        <w:pStyle w:val="Compact"/>
        <w:numPr>
          <w:ilvl w:val="0"/>
          <w:numId w:val="11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Emergency contact and relevant medical information must be provided.</w:t>
      </w:r>
    </w:p>
    <w:p w14:paraId="00000038">
      <w:pPr>
        <w:pStyle w:val="Compact"/>
        <w:numPr>
          <w:ilvl w:val="0"/>
          <w:numId w:val="11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Children must be supervised at all times by responsible adults.</w:t>
      </w:r>
    </w:p>
    <w:p w14:paraId="00000039">
      <w:pPr>
        <w:pStyle w:val="Compact"/>
        <w:numPr>
          <w:ilvl w:val="0"/>
          <w:numId w:val="11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 minimum of two adults shall be present during Junior Players activities.</w:t>
      </w:r>
    </w:p>
    <w:p w14:paraId="0000003A">
      <w:pPr>
        <w:pStyle w:val="Compact"/>
        <w:numPr>
          <w:ilvl w:val="0"/>
          <w:numId w:val="11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Adults running the junior section must be DBS checked and one should have first aid training</w:t>
      </w:r>
    </w:p>
    <w:p w14:paraId="0000003B">
      <w:pPr>
        <w:pStyle w:val="Compact"/>
        <w:numPr>
          <w:ilvl w:val="0"/>
          <w:numId w:val="11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Group will aim for appropriate adult-to-child ratios in line with safeguarding guidance.</w:t>
      </w:r>
    </w:p>
    <w:p w14:paraId="0000003C">
      <w:pPr>
        <w:pStyle w:val="Compact"/>
        <w:numPr>
          <w:ilvl w:val="0"/>
          <w:numId w:val="11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 xml:space="preserve">Contact to be made to the local council to clarify licencing when children are performing a matinee &amp; an evening performance </w:t>
      </w:r>
    </w:p>
    <w:p w14:paraId="0000003D">
      <w:pPr>
        <w:pStyle w:val="Heading3"/>
        <w:rPr>
          <w:rFonts w:ascii="Arial" w:cs="Arial" w:hAnsi="Arial"/>
          <w:color w:val="000000" w:themeColor="dk1"/>
          <w:sz w:val="22"/>
          <w:szCs w:val="22"/>
        </w:rPr>
      </w:pPr>
      <w:bookmarkEnd w:id="20"/>
      <w:bookmarkStart w:id="21" w:name="equality-diversity-and-inclusion"/>
      <w:r>
        <w:rPr>
          <w:rFonts w:ascii="Arial" w:cs="Arial" w:hAnsi="Arial"/>
          <w:color w:val="000000" w:themeColor="dk1"/>
          <w:sz w:val="22"/>
          <w:szCs w:val="22"/>
        </w:rPr>
        <w:t>8.3 Equality, Diversity and Inclusion</w:t>
      </w:r>
    </w:p>
    <w:p w14:paraId="0000003E">
      <w:pPr>
        <w:pStyle w:val="Compact"/>
        <w:numPr>
          <w:ilvl w:val="0"/>
          <w:numId w:val="12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Group is committed to providing equal opportunities regardless of age, disability, gender, race, religion, or sexual orientation.</w:t>
      </w:r>
    </w:p>
    <w:p w14:paraId="0000003F">
      <w:pPr>
        <w:pStyle w:val="Compact"/>
        <w:numPr>
          <w:ilvl w:val="0"/>
          <w:numId w:val="12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All members shall be treated with dignity and respect.</w:t>
      </w:r>
    </w:p>
    <w:p w14:paraId="00000040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21"/>
      <w:bookmarkEnd w:id="18"/>
      <w:bookmarkStart w:id="22" w:name="code-of-conduct"/>
      <w:r>
        <w:rPr>
          <w:rFonts w:ascii="Arial" w:cs="Arial" w:hAnsi="Arial"/>
          <w:color w:val="000000" w:themeColor="dk1"/>
          <w:sz w:val="22"/>
          <w:szCs w:val="22"/>
        </w:rPr>
        <w:t xml:space="preserve">9.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Code of Conduc</w:t>
      </w:r>
      <w:r>
        <w:rPr>
          <w:rFonts w:ascii="Arial" w:cs="Arial" w:hAnsi="Arial"/>
          <w:color w:val="000000" w:themeColor="dk1"/>
          <w:sz w:val="22"/>
          <w:szCs w:val="22"/>
        </w:rPr>
        <w:t>t</w:t>
      </w:r>
    </w:p>
    <w:p w14:paraId="00000041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All members agree to: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Treat others with respect, courtesy, and professionalism.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Follow directions from the Director, Production Team, and Committee.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Avoid discriminatory, abusive, or disruptive behaviour.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Respect venues, equipment, and costumes.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Maintain confidentiality where appropriate.</w:t>
      </w:r>
    </w:p>
    <w:p w14:paraId="00000042">
      <w:pPr>
        <w:pStyle w:val="BodyText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Committee may take appropriate action, including suspension or termination of membership, in response to breaches of this code.</w:t>
      </w:r>
    </w:p>
    <w:p w14:paraId="00000043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22"/>
      <w:bookmarkStart w:id="23" w:name="auditions-and-casting"/>
      <w:r>
        <w:rPr>
          <w:rFonts w:ascii="Arial" w:cs="Arial" w:hAnsi="Arial"/>
          <w:color w:val="000000" w:themeColor="dk1"/>
          <w:sz w:val="22"/>
          <w:szCs w:val="22"/>
        </w:rPr>
        <w:t xml:space="preserve">10.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Auditions and Casting</w:t>
      </w:r>
    </w:p>
    <w:p w14:paraId="00000044">
      <w:pPr>
        <w:pStyle w:val="Compact"/>
        <w:numPr>
          <w:ilvl w:val="0"/>
          <w:numId w:val="13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Auditions shall be open to all eligible members.</w:t>
      </w:r>
    </w:p>
    <w:p w14:paraId="00000045">
      <w:pPr>
        <w:pStyle w:val="Compact"/>
        <w:numPr>
          <w:ilvl w:val="0"/>
          <w:numId w:val="13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Casting decisions shall be made by the appointed Director based on suitability for roles.</w:t>
      </w:r>
    </w:p>
    <w:p w14:paraId="00000046">
      <w:pPr>
        <w:pStyle w:val="Compact"/>
        <w:numPr>
          <w:ilvl w:val="0"/>
          <w:numId w:val="13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process shall be fair, transparent, and free from discrimination.</w:t>
      </w:r>
    </w:p>
    <w:p w14:paraId="00000047">
      <w:pPr>
        <w:pStyle w:val="Compact"/>
        <w:numPr>
          <w:ilvl w:val="0"/>
          <w:numId w:val="13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Feedback may be offered at the Director’s discretion.</w:t>
      </w:r>
    </w:p>
    <w:p w14:paraId="00000048">
      <w:pPr>
        <w:pStyle w:val="Compact"/>
        <w:numPr>
          <w:ilvl w:val="0"/>
          <w:numId w:val="13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Director’s casting decisions are final.</w:t>
      </w:r>
    </w:p>
    <w:p w14:paraId="00000049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23"/>
      <w:bookmarkStart w:id="24" w:name="rehearsal-expectations"/>
      <w:r>
        <w:rPr>
          <w:rFonts w:ascii="Arial" w:cs="Arial" w:hAnsi="Arial"/>
          <w:color w:val="000000" w:themeColor="dk1"/>
          <w:sz w:val="22"/>
          <w:szCs w:val="22"/>
        </w:rPr>
        <w:t xml:space="preserve">11.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Rehearsal Expectations</w:t>
      </w:r>
    </w:p>
    <w:p w14:paraId="0000004A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Members participating in productions are expected to: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Attend rehearsals regularly and arrive on time.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Notify the Director or Stage Manager in advance of any absence.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Learn lines, cues, and blocking as required.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Contribute positively to the rehearsal environment.</w:t>
      </w:r>
      <w:r>
        <w:rPr>
          <w:rFonts w:ascii="Arial" w:cs="Arial" w:hAnsi="Arial"/>
          <w:color w:val="000000" w:themeColor="dk1"/>
          <w:sz w:val="22"/>
          <w:szCs w:val="22"/>
        </w:rPr>
        <w:t xml:space="preserve"> </w:t>
      </w:r>
      <w:r>
        <w:rPr>
          <w:rFonts w:ascii="Arial" w:cs="Arial" w:hAnsi="Arial"/>
          <w:color w:val="000000" w:themeColor="dk1"/>
          <w:sz w:val="22"/>
          <w:szCs w:val="22"/>
        </w:rPr>
        <w:t>- Follow health and safety guidance at all times.</w:t>
      </w:r>
    </w:p>
    <w:p w14:paraId="0000004B">
      <w:pPr>
        <w:pStyle w:val="BodyText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Persistent non-attendance or disruptive behaviour may result in recasting at the discretion of the Production Team.</w:t>
      </w:r>
    </w:p>
    <w:p w14:paraId="0000004C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24"/>
      <w:bookmarkStart w:id="25" w:name="amendments-to-the-constitution"/>
      <w:r>
        <w:rPr>
          <w:rFonts w:ascii="Arial" w:cs="Arial" w:hAnsi="Arial"/>
          <w:color w:val="000000" w:themeColor="dk1"/>
          <w:sz w:val="22"/>
          <w:szCs w:val="22"/>
        </w:rPr>
        <w:t xml:space="preserve">12.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Amendments to the Constitution</w:t>
      </w:r>
    </w:p>
    <w:p w14:paraId="0000004D">
      <w:pPr>
        <w:pStyle w:val="Compact"/>
        <w:numPr>
          <w:ilvl w:val="0"/>
          <w:numId w:val="14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Amendments may be made at an AGM or EGM.</w:t>
      </w:r>
    </w:p>
    <w:p w14:paraId="0000004E">
      <w:pPr>
        <w:pStyle w:val="Compact"/>
        <w:numPr>
          <w:ilvl w:val="0"/>
          <w:numId w:val="14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 two-thirds majority of members present and voting is required.</w:t>
      </w:r>
    </w:p>
    <w:p w14:paraId="0000004F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25"/>
      <w:bookmarkStart w:id="26" w:name="dissolution"/>
      <w:r>
        <w:rPr>
          <w:rFonts w:ascii="Arial" w:cs="Arial" w:hAnsi="Arial"/>
          <w:color w:val="000000" w:themeColor="dk1"/>
          <w:sz w:val="22"/>
          <w:szCs w:val="22"/>
        </w:rPr>
        <w:t>13.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 xml:space="preserve"> Dissolution</w:t>
      </w:r>
    </w:p>
    <w:p w14:paraId="00000050">
      <w:pPr>
        <w:pStyle w:val="Compact"/>
        <w:numPr>
          <w:ilvl w:val="0"/>
          <w:numId w:val="15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The Group may be dissolved by a two-thirds majority at a General Meeting.</w:t>
      </w:r>
    </w:p>
    <w:p w14:paraId="00000051">
      <w:pPr>
        <w:pStyle w:val="Compact"/>
        <w:numPr>
          <w:ilvl w:val="0"/>
          <w:numId w:val="15"/>
        </w:numPr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Any remaining assets shall be distributed to a local charitable organisation with similar aims.</w:t>
      </w:r>
    </w:p>
    <w:p w14:paraId="00000052">
      <w:pPr>
        <w:pStyle w:val="Heading2"/>
        <w:rPr>
          <w:rFonts w:ascii="Arial" w:cs="Arial" w:hAnsi="Arial"/>
          <w:color w:val="000000" w:themeColor="dk1"/>
          <w:sz w:val="22"/>
          <w:szCs w:val="22"/>
        </w:rPr>
      </w:pPr>
      <w:bookmarkEnd w:id="26"/>
      <w:bookmarkStart w:id="27" w:name="adoption"/>
      <w:r>
        <w:rPr>
          <w:rFonts w:ascii="Arial" w:cs="Arial" w:hAnsi="Arial"/>
          <w:color w:val="000000" w:themeColor="dk1"/>
          <w:sz w:val="22"/>
          <w:szCs w:val="22"/>
        </w:rPr>
        <w:t xml:space="preserve">14 </w:t>
      </w:r>
      <w:r>
        <w:rPr>
          <w:rFonts w:ascii="Arial" w:cs="Arial" w:hAnsi="Arial"/>
          <w:b/>
          <w:bCs/>
          <w:color w:val="000000" w:themeColor="dk1"/>
          <w:sz w:val="22"/>
          <w:szCs w:val="22"/>
        </w:rPr>
        <w:t>Adoption</w:t>
      </w:r>
    </w:p>
    <w:p w14:paraId="00000053">
      <w:pPr>
        <w:pStyle w:val="FirstParagraph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This constitution was adopted on:</w:t>
      </w:r>
    </w:p>
    <w:p w14:paraId="00000054">
      <w:pPr>
        <w:pStyle w:val="BodyText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Date: _______________________</w:t>
      </w:r>
    </w:p>
    <w:p w14:paraId="00000055">
      <w:pPr>
        <w:pStyle w:val="BodyText"/>
        <w:rPr>
          <w:rFonts w:ascii="Arial" w:cs="Arial" w:hAnsi="Arial"/>
          <w:color w:val="000000" w:themeColor="dk1"/>
          <w:sz w:val="22"/>
          <w:szCs w:val="22"/>
        </w:rPr>
      </w:pPr>
    </w:p>
    <w:p w14:paraId="00000056">
      <w:pPr>
        <w:pStyle w:val="BodyText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Signed (Chairperson): ____________________</w:t>
      </w:r>
    </w:p>
    <w:p w14:paraId="00000057">
      <w:pPr>
        <w:pStyle w:val="BodyText"/>
        <w:rPr>
          <w:rFonts w:ascii="Arial" w:cs="Arial" w:hAnsi="Arial"/>
          <w:color w:val="000000" w:themeColor="dk1"/>
          <w:sz w:val="22"/>
          <w:szCs w:val="22"/>
        </w:rPr>
      </w:pPr>
    </w:p>
    <w:p w14:paraId="00000058">
      <w:pPr>
        <w:pStyle w:val="BodyText"/>
        <w:rPr>
          <w:rFonts w:ascii="Arial" w:cs="Arial" w:hAnsi="Arial"/>
          <w:color w:val="000000" w:themeColor="dk1"/>
          <w:sz w:val="22"/>
          <w:szCs w:val="22"/>
        </w:rPr>
      </w:pPr>
      <w:r>
        <w:rPr>
          <w:rFonts w:ascii="Arial" w:cs="Arial" w:hAnsi="Arial"/>
          <w:color w:val="000000" w:themeColor="dk1"/>
          <w:sz w:val="22"/>
          <w:szCs w:val="22"/>
        </w:rPr>
        <w:t>Signed (Secretary): ______________________</w:t>
      </w:r>
    </w:p>
    <w:p w14:paraId="00000059">
      <w:pPr>
        <w:pStyle w:val="BodyText"/>
        <w:rPr>
          <w:rFonts w:ascii="Arial" w:cs="Arial" w:hAnsi="Arial"/>
          <w:color w:val="000000" w:themeColor="dk1"/>
          <w:sz w:val="22"/>
          <w:szCs w:val="22"/>
        </w:rPr>
      </w:pPr>
      <w:bookmarkEnd w:id="27"/>
      <w:bookmarkEnd w:id="0"/>
    </w:p>
    <w:sectPr>
      <w:footnotePr>
        <w:numRestart w:val="eachSect"/>
      </w:footnotePr>
      <w:pgMar w:top="720" w:right="720" w:bottom="720" w:lef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00000000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Consolas"/>
  <w:font w:name="Arial Black"/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 xmlns:mc="http://schemas.openxmlformats.org/markup-compatibility/2006" xmlns:wne="http://schemas.microsoft.com/office/word/2006/wordml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footnote w:type="continuationSeparator" w:id="0">
    <w:p w14:paraId="00000001">
      <w:r>
        <w:rPr/>
        <w:continuationSeparator/>
      </w:r>
    </w:p>
  </w:footnote>
  <w:footnote w:type="separator" w:id="1">
    <w:p w14:paraId="00000002">
      <w:r>
        <w:rPr/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numFmt w:val="bullet"/>
      <w:lvlText w:val=" "/>
      <w:lvlJc w:val="left"/>
      <w:pPr>
        <w:ind w:left="720" w:hanging="360"/>
      </w:pPr>
    </w:lvl>
    <w:lvl w:ilvl="1" w:tentative="0">
      <w:numFmt w:val="bullet"/>
      <w:lvlText w:val=" "/>
      <w:lvlJc w:val="left"/>
      <w:pPr>
        <w:ind w:left="1440" w:hanging="360"/>
      </w:pPr>
    </w:lvl>
    <w:lvl w:ilvl="2" w:tentative="0">
      <w:numFmt w:val="bullet"/>
      <w:lvlText w:val=" "/>
      <w:lvlJc w:val="left"/>
      <w:pPr>
        <w:ind w:left="2160" w:hanging="360"/>
      </w:pPr>
    </w:lvl>
    <w:lvl w:ilvl="3" w:tentative="0">
      <w:numFmt w:val="bullet"/>
      <w:lvlText w:val=" "/>
      <w:lvlJc w:val="left"/>
      <w:pPr>
        <w:ind w:left="2880" w:hanging="360"/>
      </w:pPr>
    </w:lvl>
    <w:lvl w:ilvl="4" w:tentative="0">
      <w:numFmt w:val="bullet"/>
      <w:lvlText w:val=" "/>
      <w:lvlJc w:val="left"/>
      <w:pPr>
        <w:ind w:left="3600" w:hanging="360"/>
      </w:pPr>
    </w:lvl>
    <w:lvl w:ilvl="5" w:tentative="0">
      <w:numFmt w:val="bullet"/>
      <w:lvlText w:val=" "/>
      <w:lvlJc w:val="left"/>
      <w:pPr>
        <w:ind w:left="4320" w:hanging="360"/>
      </w:pPr>
    </w:lvl>
    <w:lvl w:ilvl="6" w:tentative="0">
      <w:numFmt w:val="bullet"/>
      <w:lvlText w:val=" "/>
      <w:lvlJc w:val="left"/>
      <w:pPr>
        <w:ind w:left="5040" w:hanging="360"/>
      </w:pPr>
    </w:lvl>
    <w:lvl w:ilvl="7" w:tentative="0">
      <w:numFmt w:val="bullet"/>
      <w:lvlText w:val=" "/>
      <w:lvlJc w:val="left"/>
      <w:pPr>
        <w:ind w:left="5760" w:hanging="360"/>
      </w:pPr>
    </w:lvl>
    <w:lvl w:ilvl="8" w:tentative="0">
      <w:numFmt w:val="bullet"/>
      <w:lvlText w:val=" "/>
      <w:lvlJc w:val="left"/>
      <w:pPr>
        <w:ind w:left="6480" w:hanging="360"/>
      </w:pPr>
    </w:lvl>
  </w:abstractNum>
  <w:abstractNum w:abstractNumId="1">
    <w:multiLevelType w:val="multilevel"/>
    <w:lvl w:ilvl="0" w:tentative="0">
      <w:numFmt w:val="bullet"/>
      <w:lvlText w:val=""/>
      <w:lvlJc w:val="left"/>
      <w:pPr>
        <w:ind w:left="720" w:hanging="360"/>
      </w:pPr>
      <w:rPr>
        <w:rFonts w:ascii="Symbol" w:cs="Symbol" w:hAnsi="Symbol" w:hint="default"/>
      </w:rPr>
    </w:lvl>
    <w:lvl w:ilvl="1" w:tentative="0"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0">
      <w:numFmt w:val="bullet"/>
      <w:lvlText w:val=""/>
      <w:lvlJc w:val="left"/>
      <w:pPr>
        <w:ind w:left="2160" w:hanging="360"/>
      </w:pPr>
      <w:rPr>
        <w:rFonts w:ascii="Wingdings" w:cs="Wingdings" w:hAnsi="Wingdings" w:hint="default"/>
      </w:rPr>
    </w:lvl>
    <w:lvl w:ilvl="3" w:tentative="0">
      <w:numFmt w:val="bullet"/>
      <w:lvlText w:val=""/>
      <w:lvlJc w:val="left"/>
      <w:pPr>
        <w:ind w:left="2880" w:hanging="360"/>
      </w:pPr>
      <w:rPr>
        <w:rFonts w:ascii="Symbol" w:cs="Symbol" w:hAnsi="Symbol" w:hint="default"/>
      </w:rPr>
    </w:lvl>
    <w:lvl w:ilvl="4" w:tentative="0"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0">
      <w:numFmt w:val="bullet"/>
      <w:lvlText w:val=""/>
      <w:lvlJc w:val="left"/>
      <w:pPr>
        <w:ind w:left="4320" w:hanging="360"/>
      </w:pPr>
      <w:rPr>
        <w:rFonts w:ascii="Wingdings" w:cs="Wingdings" w:hAnsi="Wingdings" w:hint="default"/>
      </w:rPr>
    </w:lvl>
    <w:lvl w:ilvl="6" w:tentative="0">
      <w:numFmt w:val="bullet"/>
      <w:lvlText w:val=""/>
      <w:lvlJc w:val="left"/>
      <w:pPr>
        <w:ind w:left="5040" w:hanging="360"/>
      </w:pPr>
      <w:rPr>
        <w:rFonts w:ascii="Symbol" w:cs="Symbol" w:hAnsi="Symbol" w:hint="default"/>
      </w:rPr>
    </w:lvl>
    <w:lvl w:ilvl="7" w:tentative="0"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0">
      <w:numFmt w:val="bullet"/>
      <w:lvlText w:val=""/>
      <w:lvlJc w:val="left"/>
      <w:pPr>
        <w:ind w:left="6480" w:hanging="360"/>
      </w:pPr>
      <w:rPr>
        <w:rFonts w:ascii="Wingdings" w:cs="Wingdings" w:hAnsi="Wingdings" w:hint="default"/>
      </w:rPr>
    </w:lvl>
  </w:abstractNum>
  <w:abstractNum w:abstractNumId="2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  <w:rPr/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  <w:rPr/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  <w:rPr/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  <w:rPr/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  <w:rPr/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  <w:rPr/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  <w:rPr/>
    </w:lvl>
  </w:abstractNum>
  <w:abstractNum w:abstractNumId="3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2"/>
  </w:num>
  <w:num w:numId="18">
    <w:abstractNumId w:val="3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footnotePr>
    <w:footnote w:id="1"/>
    <w:footnote w:id="0"/>
  </w:footnotePr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val="en-US" w:bidi="ar-SA" w:eastAsia="en-US"/>
      </w:rPr>
    </w:rPrDefault>
    <w:pPrDefault>
      <w:pPr>
        <w:spacing w:after="200"/>
      </w:pPr>
    </w:pPrDefault>
  </w:docDefaults>
  <w:style w:type="table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156082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156082" w:themeColor="accent1" w:sz="4" w:space="4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6607d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99"/>
    <w:qFormat w:val="on"/>
  </w:style>
  <w:style w:type="paragraph" w:styleId="BodyText">
    <w:name w:val="Body Text"/>
    <w:basedOn w:val="Normal"/>
    <w:link w:val="BodyTextChar"/>
    <w:uiPriority w:val="99"/>
    <w:qFormat w:val="on"/>
    <w:pPr>
      <w:spacing w:before="180" w:after="180"/>
    </w:pPr>
  </w:style>
  <w:style w:type="paragraph" w:customStyle="1" w:styleId="FirstParagraph">
    <w:name w:val="First Paragraph"/>
    <w:basedOn w:val="BodyText"/>
    <w:next w:val="BodyText"/>
    <w:uiPriority w:val="99"/>
    <w:qFormat w:val="on"/>
  </w:style>
  <w:style w:type="paragraph" w:customStyle="1" w:styleId="Compact">
    <w:name w:val="Compact"/>
    <w:basedOn w:val="BodyText"/>
    <w:uiPriority w:val="99"/>
    <w:qFormat w:val="on"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 w:val="on"/>
    <w:pPr>
      <w:spacing w:after="80" w:line="240" w:lineRule="auto"/>
      <w:contextualSpacing w:val="on"/>
      <w:jc w:val="center"/>
    </w:pPr>
    <w:rPr>
      <w:rFonts w:asciiTheme="majorHAnsi" w:cstheme="majorBidi" w:eastAsiaTheme="majorEastAsia" w:hAnsiTheme="majorHAns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 w:val="on"/>
    <w:pPr/>
    <w:rPr>
      <w:rFonts w:cstheme="majorBidi" w:eastAsiaTheme="majorEastAsi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uiPriority w:val="99"/>
    <w:qFormat w:val="on"/>
    <w:pPr>
      <w:keepNext w:val="on"/>
      <w:keepLines w:val="on"/>
      <w:jc w:val="center"/>
    </w:pPr>
  </w:style>
  <w:style w:type="paragraph" w:styleId="Date">
    <w:name w:val="Date"/>
    <w:next w:val="BodyText"/>
    <w:uiPriority w:val="99"/>
    <w:qFormat w:val="on"/>
    <w:pPr>
      <w:keepNext w:val="on"/>
      <w:keepLines w:val="on"/>
      <w:jc w:val="center"/>
    </w:pPr>
  </w:style>
  <w:style w:type="paragraph" w:customStyle="1" w:styleId="AbstractTitle">
    <w:name w:val="Abstract Title"/>
    <w:basedOn w:val="Normal"/>
    <w:next w:val="Abstract"/>
    <w:uiPriority w:val="99"/>
    <w:qFormat w:val="on"/>
    <w:pPr>
      <w:keepNext w:val="on"/>
      <w:keepLines w:val="on"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uiPriority w:val="99"/>
    <w:qFormat w:val="on"/>
    <w:pPr>
      <w:keepNext w:val="on"/>
      <w:keepLines w:val="on"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uiPriority w:val="99"/>
    <w:qFormat w:val="on"/>
    <w:pPr/>
    <w:rPr/>
  </w:style>
  <w:style w:type="paragraph" w:styleId="Heading1">
    <w:name w:val="Heading 1"/>
    <w:basedOn w:val="Normal"/>
    <w:next w:val="BodyText"/>
    <w:link w:val="Heading1Char"/>
    <w:uiPriority w:val="9"/>
    <w:qFormat w:val="on"/>
    <w:pPr>
      <w:keepNext w:val="on"/>
      <w:keepLines w:val="on"/>
      <w:spacing w:before="360" w:after="80"/>
    </w:pPr>
    <w:rPr>
      <w:rFonts w:asciiTheme="majorHAnsi" w:cstheme="majorBidi" w:eastAsiaTheme="majorEastAsia" w:hAnsiTheme="majorHAnsi"/>
      <w:color w:val="104760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 w:val="on"/>
    <w:unhideWhenUsed w:val="on"/>
    <w:qFormat w:val="on"/>
    <w:pPr>
      <w:keepNext w:val="on"/>
      <w:keepLines w:val="on"/>
      <w:spacing w:before="160" w:after="80"/>
    </w:pPr>
    <w:rPr>
      <w:rFonts w:asciiTheme="majorHAnsi" w:cstheme="majorBidi" w:eastAsiaTheme="majorEastAsia" w:hAnsiTheme="majorHAnsi"/>
      <w:color w:val="104760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 w:val="on"/>
    <w:unhideWhenUsed w:val="on"/>
    <w:qFormat w:val="on"/>
    <w:pPr>
      <w:keepNext w:val="on"/>
      <w:keepLines w:val="on"/>
      <w:spacing w:before="160" w:after="80"/>
    </w:pPr>
    <w:rPr>
      <w:rFonts w:cstheme="majorBidi" w:eastAsiaTheme="majorEastAsia"/>
      <w:color w:val="104760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 w:val="on"/>
    <w:unhideWhenUsed w:val="on"/>
    <w:qFormat w:val="on"/>
    <w:pPr>
      <w:keepNext w:val="on"/>
      <w:keepLines w:val="on"/>
      <w:spacing w:before="80" w:after="40"/>
    </w:pPr>
    <w:rPr>
      <w:rFonts w:cstheme="majorBidi" w:eastAsiaTheme="majorEastAsia"/>
      <w:i/>
      <w:iCs/>
      <w:color w:val="104760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 w:val="on"/>
    <w:unhideWhenUsed w:val="on"/>
    <w:qFormat w:val="on"/>
    <w:pPr>
      <w:keepNext w:val="on"/>
      <w:keepLines w:val="on"/>
      <w:spacing w:before="80" w:after="40"/>
    </w:pPr>
    <w:rPr>
      <w:rFonts w:cstheme="majorBidi" w:eastAsiaTheme="majorEastAsia"/>
      <w:color w:val="104760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 w:val="on"/>
    <w:unhideWhenUsed w:val="on"/>
    <w:qFormat w:val="on"/>
    <w:pPr>
      <w:keepNext w:val="on"/>
      <w:keepLines w:val="on"/>
      <w:spacing w:before="40" w:after="0"/>
    </w:pPr>
    <w:rPr>
      <w:rFonts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 w:val="on"/>
    <w:unhideWhenUsed w:val="on"/>
    <w:qFormat w:val="on"/>
    <w:pPr>
      <w:keepNext w:val="on"/>
      <w:keepLines w:val="on"/>
      <w:spacing w:before="40" w:after="0"/>
    </w:pPr>
    <w:rPr>
      <w:rFonts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 w:val="on"/>
    <w:unhideWhenUsed w:val="on"/>
    <w:qFormat w:val="on"/>
    <w:pPr>
      <w:keepNext w:val="on"/>
      <w:keepLines w:val="on"/>
      <w:spacing w:after="0"/>
    </w:pPr>
    <w:rPr>
      <w:rFonts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 w:val="on"/>
    <w:unhideWhenUsed w:val="on"/>
    <w:qFormat w:val="on"/>
    <w:pPr>
      <w:keepNext w:val="on"/>
      <w:keepLines w:val="on"/>
      <w:spacing w:after="0"/>
    </w:pPr>
    <w:rPr>
      <w:rFonts w:cstheme="majorBidi" w:eastAsiaTheme="majorEastAsia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10476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 w:val="on"/>
    <w:rPr>
      <w:rFonts w:asciiTheme="majorHAnsi" w:cstheme="majorBidi" w:eastAsiaTheme="majorEastAsia" w:hAnsiTheme="majorHAnsi"/>
      <w:color w:val="10476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 w:val="on"/>
    <w:rPr>
      <w:rFonts w:cstheme="majorBidi" w:eastAsiaTheme="majorEastAsia"/>
      <w:color w:val="10476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 w:val="on"/>
    <w:rPr>
      <w:rFonts w:cstheme="majorBidi" w:eastAsiaTheme="majorEastAsia"/>
      <w:i/>
      <w:iCs/>
      <w:color w:val="10476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 w:val="on"/>
    <w:rPr>
      <w:rFonts w:cstheme="majorBidi" w:eastAsiaTheme="majorEastAsia"/>
      <w:color w:val="10476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 w:val="on"/>
    <w:rPr>
      <w:rFonts w:cstheme="majorBidi" w:eastAsiaTheme="majorEastAsia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 w:val="on"/>
    <w:rPr>
      <w:rFonts w:cstheme="majorBidi" w:eastAsiaTheme="majorEastAsia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 w:val="on"/>
    <w:rPr>
      <w:rFonts w:cstheme="majorBidi" w:eastAsiaTheme="majorEastAsia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 w:val="on"/>
    <w:rPr>
      <w:rFonts w:cstheme="majorBidi" w:eastAsiaTheme="majorEastAsia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 w:val="on"/>
    <w:qFormat w:val="on"/>
    <w:pPr>
      <w:spacing w:before="100" w:after="100"/>
      <w:ind w:left="480" w:right="480" w:firstLine="0"/>
    </w:pPr>
  </w:style>
  <w:style w:type="paragraph" w:styleId="FootnoteBlockText">
    <w:name w:val="Footnote Block Text"/>
    <w:basedOn w:val="Footnotetext"/>
    <w:next w:val="Footnotetext"/>
    <w:uiPriority w:val="9"/>
    <w:unhideWhenUsed w:val="on"/>
    <w:qFormat w:val="on"/>
    <w:pPr>
      <w:spacing w:before="100" w:after="100"/>
      <w:ind w:left="480" w:right="480" w:firstLine="0"/>
    </w:pPr>
  </w:style>
  <w:style w:type="character" w:default="1" w:styleId="DefaultParagraphFont">
    <w:name w:val="Default Paragraph Font"/>
    <w:uiPriority w:val="99"/>
    <w:semiHidden w:val="on"/>
    <w:unhideWhenUsed w:val="on"/>
  </w:style>
  <w:style w:type="table" w:default="1" w:styleId="Table">
    <w:name w:val="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  <w:tblInd w:w="0" w:type="dxa"/>
      </w:tblPr>
      <w:trPr>
        <w:jc w:val="left"/>
      </w:trPr>
      <w:tcPr>
        <w:tcBorders>
          <w:bottom w:val="single" w:sz="4" w:space="0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uiPriority w:val="99"/>
    <w:pPr>
      <w:keepNext w:val="on"/>
      <w:keepLines w:val="on"/>
      <w:spacing w:after="0"/>
    </w:pPr>
    <w:rPr>
      <w:b/>
    </w:rPr>
  </w:style>
  <w:style w:type="paragraph" w:customStyle="1" w:styleId="Definition">
    <w:name w:val="Definition"/>
    <w:basedOn w:val="Normal"/>
    <w:uiPriority w:val="99"/>
  </w:style>
  <w:style w:type="paragraph" w:styleId="Caption">
    <w:name w:val="Caption"/>
    <w:basedOn w:val="Normal"/>
    <w:link w:val="BodyTextChar"/>
    <w:uiPriority w:val="99"/>
    <w:pPr>
      <w:spacing w:before="0" w:after="120"/>
    </w:pPr>
    <w:rPr>
      <w:i/>
    </w:rPr>
  </w:style>
  <w:style w:type="paragraph" w:customStyle="1" w:styleId="TableCaption">
    <w:name w:val="Table Caption"/>
    <w:basedOn w:val="Caption"/>
    <w:uiPriority w:val="99"/>
    <w:pPr>
      <w:keepNext w:val="on"/>
    </w:pPr>
  </w:style>
  <w:style w:type="paragraph" w:customStyle="1" w:styleId="ImageCaption">
    <w:name w:val="Image Caption"/>
    <w:basedOn w:val="Caption"/>
    <w:uiPriority w:val="99"/>
  </w:style>
  <w:style w:type="paragraph" w:customStyle="1" w:styleId="Figure">
    <w:name w:val="Figure"/>
    <w:basedOn w:val="Normal"/>
    <w:uiPriority w:val="99"/>
  </w:style>
  <w:style w:type="paragraph" w:customStyle="1" w:styleId="CaptionedFigure">
    <w:name w:val="Captioned Figure"/>
    <w:basedOn w:val="Figure"/>
    <w:uiPriority w:val="99"/>
    <w:pPr>
      <w:keepNext w:val="on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VerbatimChar">
    <w:name w:val="Verbatim Char"/>
    <w:basedOn w:val="BodyTextChar"/>
    <w:uiPriority w:val="99"/>
    <w:rPr>
      <w:rFonts w:ascii="Consolas" w:hAnsi="Consolas"/>
      <w:sz w:val="22"/>
    </w:rPr>
  </w:style>
  <w:style w:type="character" w:customStyle="1" w:styleId="SectionNumber">
    <w:name w:val="Section Number"/>
    <w:basedOn w:val="BodyTextChar"/>
    <w:uiPriority w:val="99"/>
  </w:style>
  <w:style w:type="character" w:styleId="Hyperlink">
    <w:name w:val="Hyperlink"/>
    <w:basedOn w:val="BodyTextChar"/>
    <w:uiPriority w:val="99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 w:val="on"/>
    <w:qFormat w:val="on"/>
    <w:pPr>
      <w:spacing w:before="240" w:line="259" w:lineRule="auto"/>
    </w:pPr>
    <w:rPr>
      <w:rFonts w:asciiTheme="majorHAnsi" w:cstheme="majorBidi" w:eastAsiaTheme="majorEastAsia" w:hAnsiTheme="majorHAnsi"/>
      <w:b w:val="off"/>
      <w:bCs w:val="off"/>
      <w:color w:val="104760" w:themeColor="accent1" w:themeShade="bf"/>
    </w:rPr>
  </w:style>
  <w:style w:type="paragraph" w:customStyle="1" w:styleId="SourceCode">
    <w:name w:val="Source Code"/>
    <w:basedOn w:val="Normal"/>
    <w:link w:val="VerbatimChar"/>
    <w:uiPriority w:val="99"/>
    <w:pPr/>
  </w:style>
  <w:style w:type="character" w:customStyle="1" w:styleId="KeywordTok">
    <w:name w:val="KeywordTok"/>
    <w:basedOn w:val="VerbatimChar"/>
    <w:uiPriority w:val="99"/>
    <w:rPr>
      <w:b/>
      <w:color w:val="007020"/>
    </w:rPr>
  </w:style>
  <w:style w:type="character" w:customStyle="1" w:styleId="DataTypeTok">
    <w:name w:val="DataTypeTok"/>
    <w:basedOn w:val="VerbatimChar"/>
    <w:uiPriority w:val="99"/>
    <w:rPr>
      <w:color w:val="902000"/>
    </w:rPr>
  </w:style>
  <w:style w:type="character" w:customStyle="1" w:styleId="DecValTok">
    <w:name w:val="DecValTok"/>
    <w:basedOn w:val="VerbatimChar"/>
    <w:uiPriority w:val="99"/>
    <w:rPr>
      <w:color w:val="40a070"/>
    </w:rPr>
  </w:style>
  <w:style w:type="character" w:customStyle="1" w:styleId="BaseNTok">
    <w:name w:val="BaseNTok"/>
    <w:basedOn w:val="VerbatimChar"/>
    <w:uiPriority w:val="99"/>
    <w:rPr>
      <w:color w:val="40a070"/>
    </w:rPr>
  </w:style>
  <w:style w:type="character" w:customStyle="1" w:styleId="FloatTok">
    <w:name w:val="FloatTok"/>
    <w:basedOn w:val="VerbatimChar"/>
    <w:uiPriority w:val="99"/>
    <w:rPr>
      <w:color w:val="40a070"/>
    </w:rPr>
  </w:style>
  <w:style w:type="character" w:customStyle="1" w:styleId="ConstantTok">
    <w:name w:val="ConstantTok"/>
    <w:basedOn w:val="VerbatimChar"/>
    <w:uiPriority w:val="99"/>
    <w:rPr>
      <w:color w:val="880000"/>
    </w:rPr>
  </w:style>
  <w:style w:type="character" w:customStyle="1" w:styleId="CharTok">
    <w:name w:val="CharTok"/>
    <w:basedOn w:val="VerbatimChar"/>
    <w:uiPriority w:val="99"/>
    <w:rPr>
      <w:color w:val="4070a0"/>
    </w:rPr>
  </w:style>
  <w:style w:type="character" w:customStyle="1" w:styleId="SpecialCharTok">
    <w:name w:val="SpecialCharTok"/>
    <w:basedOn w:val="VerbatimChar"/>
    <w:uiPriority w:val="99"/>
    <w:rPr>
      <w:color w:val="4070a0"/>
    </w:rPr>
  </w:style>
  <w:style w:type="character" w:customStyle="1" w:styleId="StringTok">
    <w:name w:val="StringTok"/>
    <w:basedOn w:val="VerbatimChar"/>
    <w:uiPriority w:val="99"/>
    <w:rPr>
      <w:color w:val="4070a0"/>
    </w:rPr>
  </w:style>
  <w:style w:type="character" w:customStyle="1" w:styleId="VerbatimStringTok">
    <w:name w:val="VerbatimStringTok"/>
    <w:basedOn w:val="VerbatimChar"/>
    <w:uiPriority w:val="99"/>
    <w:rPr>
      <w:color w:val="4070a0"/>
    </w:rPr>
  </w:style>
  <w:style w:type="character" w:customStyle="1" w:styleId="SpecialStringTok">
    <w:name w:val="SpecialStringTok"/>
    <w:basedOn w:val="VerbatimChar"/>
    <w:uiPriority w:val="99"/>
    <w:rPr>
      <w:color w:val="bb6688"/>
    </w:rPr>
  </w:style>
  <w:style w:type="character" w:customStyle="1" w:styleId="ImportTok">
    <w:name w:val="ImportTok"/>
    <w:basedOn w:val="VerbatimChar"/>
    <w:uiPriority w:val="99"/>
    <w:rPr>
      <w:b/>
      <w:color w:val="008000"/>
    </w:rPr>
  </w:style>
  <w:style w:type="character" w:customStyle="1" w:styleId="CommentTok">
    <w:name w:val="CommentTok"/>
    <w:basedOn w:val="VerbatimChar"/>
    <w:uiPriority w:val="99"/>
    <w:rPr>
      <w:i/>
      <w:color w:val="60a0b0"/>
    </w:rPr>
  </w:style>
  <w:style w:type="character" w:customStyle="1" w:styleId="DocumentationTok">
    <w:name w:val="DocumentationTok"/>
    <w:basedOn w:val="VerbatimChar"/>
    <w:uiPriority w:val="99"/>
    <w:rPr>
      <w:i/>
      <w:color w:val="ba2121"/>
    </w:rPr>
  </w:style>
  <w:style w:type="character" w:customStyle="1" w:styleId="AnnotationTok">
    <w:name w:val="AnnotationTok"/>
    <w:basedOn w:val="VerbatimChar"/>
    <w:uiPriority w:val="99"/>
    <w:rPr>
      <w:b/>
      <w:i/>
      <w:color w:val="60a0b0"/>
    </w:rPr>
  </w:style>
  <w:style w:type="character" w:customStyle="1" w:styleId="CommentVarTok">
    <w:name w:val="CommentVarTok"/>
    <w:basedOn w:val="VerbatimChar"/>
    <w:uiPriority w:val="99"/>
    <w:rPr>
      <w:b/>
      <w:i/>
      <w:color w:val="60a0b0"/>
    </w:rPr>
  </w:style>
  <w:style w:type="character" w:customStyle="1" w:styleId="OtherTok">
    <w:name w:val="OtherTok"/>
    <w:basedOn w:val="VerbatimChar"/>
    <w:uiPriority w:val="99"/>
    <w:rPr>
      <w:color w:val="007020"/>
    </w:rPr>
  </w:style>
  <w:style w:type="character" w:customStyle="1" w:styleId="FunctionTok">
    <w:name w:val="FunctionTok"/>
    <w:basedOn w:val="VerbatimChar"/>
    <w:uiPriority w:val="99"/>
    <w:rPr>
      <w:color w:val="06287e"/>
    </w:rPr>
  </w:style>
  <w:style w:type="character" w:customStyle="1" w:styleId="VariableTok">
    <w:name w:val="VariableTok"/>
    <w:basedOn w:val="VerbatimChar"/>
    <w:uiPriority w:val="99"/>
    <w:rPr>
      <w:color w:val="19177c"/>
    </w:rPr>
  </w:style>
  <w:style w:type="character" w:customStyle="1" w:styleId="ControlFlowTok">
    <w:name w:val="ControlFlowTok"/>
    <w:basedOn w:val="VerbatimChar"/>
    <w:uiPriority w:val="99"/>
    <w:rPr>
      <w:b/>
      <w:color w:val="007020"/>
    </w:rPr>
  </w:style>
  <w:style w:type="character" w:customStyle="1" w:styleId="OperatorTok">
    <w:name w:val="OperatorTok"/>
    <w:basedOn w:val="VerbatimChar"/>
    <w:uiPriority w:val="99"/>
    <w:rPr>
      <w:color w:val="666666"/>
    </w:rPr>
  </w:style>
  <w:style w:type="character" w:customStyle="1" w:styleId="BuiltInTok">
    <w:name w:val="BuiltInTok"/>
    <w:basedOn w:val="VerbatimChar"/>
    <w:uiPriority w:val="99"/>
    <w:rPr>
      <w:color w:val="008000"/>
    </w:rPr>
  </w:style>
  <w:style w:type="character" w:customStyle="1" w:styleId="ExtensionTok">
    <w:name w:val="ExtensionTok"/>
    <w:basedOn w:val="VerbatimChar"/>
    <w:uiPriority w:val="99"/>
    <w:rPr/>
  </w:style>
  <w:style w:type="character" w:customStyle="1" w:styleId="PreprocessorTok">
    <w:name w:val="PreprocessorTok"/>
    <w:basedOn w:val="VerbatimChar"/>
    <w:uiPriority w:val="99"/>
    <w:rPr>
      <w:color w:val="bc7a00"/>
    </w:rPr>
  </w:style>
  <w:style w:type="character" w:customStyle="1" w:styleId="AttributeTok">
    <w:name w:val="AttributeTok"/>
    <w:basedOn w:val="VerbatimChar"/>
    <w:uiPriority w:val="99"/>
    <w:rPr>
      <w:color w:val="7d9029"/>
    </w:rPr>
  </w:style>
  <w:style w:type="character" w:customStyle="1" w:styleId="RegionMarkerTok">
    <w:name w:val="RegionMarkerTok"/>
    <w:basedOn w:val="VerbatimChar"/>
    <w:uiPriority w:val="99"/>
    <w:rPr/>
  </w:style>
  <w:style w:type="character" w:customStyle="1" w:styleId="InformationTok">
    <w:name w:val="InformationTok"/>
    <w:basedOn w:val="VerbatimChar"/>
    <w:uiPriority w:val="99"/>
    <w:rPr>
      <w:b/>
      <w:i/>
      <w:color w:val="60a0b0"/>
    </w:rPr>
  </w:style>
  <w:style w:type="character" w:customStyle="1" w:styleId="WarningTok">
    <w:name w:val="WarningTok"/>
    <w:basedOn w:val="VerbatimChar"/>
    <w:uiPriority w:val="99"/>
    <w:rPr>
      <w:b/>
      <w:i/>
      <w:color w:val="60a0b0"/>
    </w:rPr>
  </w:style>
  <w:style w:type="character" w:customStyle="1" w:styleId="AlertTok">
    <w:name w:val="AlertTok"/>
    <w:basedOn w:val="VerbatimChar"/>
    <w:uiPriority w:val="99"/>
    <w:rPr>
      <w:b/>
      <w:color w:val="ff0000"/>
    </w:rPr>
  </w:style>
  <w:style w:type="character" w:customStyle="1" w:styleId="ErrorTok">
    <w:name w:val="ErrorTok"/>
    <w:basedOn w:val="VerbatimChar"/>
    <w:uiPriority w:val="99"/>
    <w:rPr>
      <w:b/>
      <w:color w:val="ff0000"/>
    </w:rPr>
  </w:style>
  <w:style w:type="character" w:customStyle="1" w:styleId="NormalTok">
    <w:name w:val="NormalTok"/>
    <w:basedOn w:val="VerbatimChar"/>
    <w:uiPriority w:val="99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Aptos" panose="0211000402020202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 Wilson</dc:creator>
  <cp:lastModifiedBy>Ange Wilson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